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9CC93" w14:textId="429DD497" w:rsidR="00E90E49" w:rsidRPr="00F6302A" w:rsidRDefault="00E90E49" w:rsidP="00E35559">
      <w:pPr>
        <w:pStyle w:val="3GPPHeader"/>
        <w:spacing w:after="60"/>
        <w:rPr>
          <w:sz w:val="32"/>
          <w:szCs w:val="32"/>
          <w:highlight w:val="yellow"/>
          <w:lang w:val="en-US"/>
        </w:rPr>
      </w:pPr>
      <w:r w:rsidRPr="00F6302A">
        <w:rPr>
          <w:lang w:val="en-US"/>
        </w:rPr>
        <w:t>3GPP TSG-RAN WG</w:t>
      </w:r>
      <w:r w:rsidR="00B475E2">
        <w:rPr>
          <w:lang w:val="en-US"/>
        </w:rPr>
        <w:t>4</w:t>
      </w:r>
      <w:r w:rsidRPr="00F6302A">
        <w:rPr>
          <w:lang w:val="en-US"/>
        </w:rPr>
        <w:t xml:space="preserve"> #</w:t>
      </w:r>
      <w:r w:rsidR="00B475E2">
        <w:rPr>
          <w:lang w:val="en-US"/>
        </w:rPr>
        <w:t>96-e</w:t>
      </w:r>
      <w:r w:rsidRPr="00F6302A">
        <w:rPr>
          <w:lang w:val="en-US"/>
        </w:rPr>
        <w:tab/>
      </w:r>
      <w:r w:rsidR="00DE761A">
        <w:rPr>
          <w:sz w:val="32"/>
          <w:szCs w:val="32"/>
          <w:lang w:val="en-US"/>
        </w:rPr>
        <w:t>R4</w:t>
      </w:r>
      <w:r w:rsidR="00091557" w:rsidRPr="00F6302A">
        <w:rPr>
          <w:sz w:val="32"/>
          <w:szCs w:val="32"/>
          <w:lang w:val="en-US"/>
        </w:rPr>
        <w:t>-</w:t>
      </w:r>
      <w:r w:rsidR="00901899">
        <w:rPr>
          <w:sz w:val="32"/>
          <w:szCs w:val="32"/>
          <w:lang w:val="en-US"/>
        </w:rPr>
        <w:t>20</w:t>
      </w:r>
      <w:r w:rsidR="006C322D">
        <w:rPr>
          <w:sz w:val="32"/>
          <w:szCs w:val="32"/>
          <w:lang w:val="en-US"/>
        </w:rPr>
        <w:t>10844</w:t>
      </w:r>
    </w:p>
    <w:p w14:paraId="41BA0FE6" w14:textId="77777777" w:rsidR="00E90E49" w:rsidRPr="006C322D" w:rsidRDefault="00B475E2" w:rsidP="00311702">
      <w:pPr>
        <w:pStyle w:val="3GPPHeader"/>
        <w:rPr>
          <w:lang w:val="en-US"/>
        </w:rPr>
      </w:pPr>
      <w:r w:rsidRPr="006C322D">
        <w:rPr>
          <w:lang w:val="en-US"/>
        </w:rPr>
        <w:t>Electronic meeting</w:t>
      </w:r>
      <w:r w:rsidR="0027144F" w:rsidRPr="006C322D">
        <w:rPr>
          <w:lang w:val="en-US"/>
        </w:rPr>
        <w:t xml:space="preserve">, </w:t>
      </w:r>
      <w:r w:rsidR="00901899" w:rsidRPr="006C322D">
        <w:rPr>
          <w:lang w:val="en-US"/>
        </w:rPr>
        <w:t>17</w:t>
      </w:r>
      <w:r w:rsidR="0027144F" w:rsidRPr="006C322D">
        <w:rPr>
          <w:lang w:val="en-US"/>
        </w:rPr>
        <w:t xml:space="preserve">th – </w:t>
      </w:r>
      <w:r w:rsidR="00901899" w:rsidRPr="006C322D">
        <w:rPr>
          <w:lang w:val="en-US"/>
        </w:rPr>
        <w:t>28</w:t>
      </w:r>
      <w:r w:rsidR="0027144F" w:rsidRPr="006C322D">
        <w:rPr>
          <w:lang w:val="en-US"/>
        </w:rPr>
        <w:t xml:space="preserve">th </w:t>
      </w:r>
      <w:r w:rsidR="00901899" w:rsidRPr="006C322D">
        <w:rPr>
          <w:lang w:val="en-US"/>
        </w:rPr>
        <w:t>August</w:t>
      </w:r>
      <w:r w:rsidR="0027144F" w:rsidRPr="006C322D">
        <w:rPr>
          <w:lang w:val="en-US"/>
        </w:rPr>
        <w:t xml:space="preserve"> 20</w:t>
      </w:r>
      <w:r w:rsidR="00901899" w:rsidRPr="006C322D">
        <w:rPr>
          <w:lang w:val="en-US"/>
        </w:rPr>
        <w:t>20</w:t>
      </w:r>
    </w:p>
    <w:p w14:paraId="1A00C4FF" w14:textId="77777777" w:rsidR="00E90E49" w:rsidRPr="006C322D" w:rsidRDefault="00E90E49" w:rsidP="00357380">
      <w:pPr>
        <w:pStyle w:val="3GPPHeader"/>
        <w:rPr>
          <w:lang w:val="en-US"/>
        </w:rPr>
      </w:pPr>
    </w:p>
    <w:p w14:paraId="2A922755" w14:textId="77777777" w:rsidR="00E90E49" w:rsidRPr="006C322D" w:rsidRDefault="00E90E49" w:rsidP="00F64C2B">
      <w:pPr>
        <w:pStyle w:val="3GPPHeader"/>
        <w:rPr>
          <w:sz w:val="22"/>
          <w:lang w:val="en-US"/>
        </w:rPr>
      </w:pPr>
      <w:r w:rsidRPr="006C322D">
        <w:rPr>
          <w:sz w:val="22"/>
          <w:lang w:val="en-US"/>
        </w:rPr>
        <w:t xml:space="preserve">Source: </w:t>
      </w:r>
      <w:r w:rsidRPr="006C322D">
        <w:rPr>
          <w:sz w:val="22"/>
          <w:lang w:val="en-US"/>
        </w:rPr>
        <w:tab/>
      </w:r>
      <w:r w:rsidR="00F64C2B" w:rsidRPr="006C322D">
        <w:rPr>
          <w:sz w:val="22"/>
          <w:lang w:val="en-US"/>
        </w:rPr>
        <w:t>Ericsson</w:t>
      </w:r>
      <w:r w:rsidRPr="006C322D">
        <w:rPr>
          <w:sz w:val="22"/>
          <w:lang w:val="en-US"/>
        </w:rPr>
        <w:t xml:space="preserve"> </w:t>
      </w:r>
    </w:p>
    <w:p w14:paraId="43FBA04D" w14:textId="08CBC064" w:rsidR="00E90E49" w:rsidRPr="006C322D" w:rsidRDefault="00E90E49" w:rsidP="00311702">
      <w:pPr>
        <w:pStyle w:val="3GPPHeader"/>
        <w:rPr>
          <w:sz w:val="22"/>
          <w:lang w:val="en-US"/>
        </w:rPr>
      </w:pPr>
      <w:r w:rsidRPr="006C322D">
        <w:rPr>
          <w:sz w:val="22"/>
          <w:lang w:val="en-US"/>
        </w:rPr>
        <w:t xml:space="preserve">Title:  </w:t>
      </w:r>
      <w:r w:rsidRPr="006C322D">
        <w:rPr>
          <w:sz w:val="22"/>
          <w:lang w:val="en-US"/>
        </w:rPr>
        <w:tab/>
      </w:r>
      <w:r w:rsidR="006C322D" w:rsidRPr="006C322D">
        <w:rPr>
          <w:sz w:val="22"/>
          <w:lang w:val="en-US"/>
        </w:rPr>
        <w:t>IAB demodulation MT aspects</w:t>
      </w:r>
    </w:p>
    <w:p w14:paraId="27417B32" w14:textId="496580D7" w:rsidR="00DE761A" w:rsidRPr="006C322D" w:rsidRDefault="00DE761A" w:rsidP="00DE761A">
      <w:pPr>
        <w:pStyle w:val="3GPPHeader"/>
        <w:rPr>
          <w:sz w:val="22"/>
          <w:lang w:val="en-US"/>
        </w:rPr>
      </w:pPr>
      <w:r w:rsidRPr="006C322D">
        <w:rPr>
          <w:sz w:val="22"/>
          <w:lang w:val="en-US"/>
        </w:rPr>
        <w:t>Agenda Item:</w:t>
      </w:r>
      <w:r w:rsidRPr="006C322D">
        <w:rPr>
          <w:sz w:val="22"/>
          <w:lang w:val="en-US"/>
        </w:rPr>
        <w:tab/>
      </w:r>
      <w:r w:rsidR="006C322D" w:rsidRPr="006C322D">
        <w:rPr>
          <w:sz w:val="22"/>
          <w:lang w:val="en-US"/>
        </w:rPr>
        <w:t>7.4.5.3</w:t>
      </w:r>
    </w:p>
    <w:p w14:paraId="1620031C" w14:textId="069DA8BC" w:rsidR="00E90E49" w:rsidRPr="00D66155" w:rsidRDefault="00E90E49" w:rsidP="00D546FF">
      <w:pPr>
        <w:pStyle w:val="3GPPHeader"/>
        <w:rPr>
          <w:sz w:val="22"/>
          <w:lang w:val="en-US"/>
        </w:rPr>
      </w:pPr>
      <w:r w:rsidRPr="006C322D">
        <w:rPr>
          <w:sz w:val="22"/>
          <w:lang w:val="en-US"/>
        </w:rPr>
        <w:t>Document for:</w:t>
      </w:r>
      <w:r w:rsidRPr="006C322D">
        <w:rPr>
          <w:sz w:val="22"/>
          <w:lang w:val="en-US"/>
        </w:rPr>
        <w:tab/>
      </w:r>
      <w:r w:rsidR="006C322D" w:rsidRPr="006C322D">
        <w:rPr>
          <w:sz w:val="22"/>
          <w:lang w:val="en-US"/>
        </w:rPr>
        <w:t>Approval</w:t>
      </w:r>
    </w:p>
    <w:p w14:paraId="652409C2" w14:textId="77777777" w:rsidR="00E90E49" w:rsidRPr="00F6302A" w:rsidRDefault="00E90E49" w:rsidP="00E90E49">
      <w:pPr>
        <w:rPr>
          <w:lang w:val="en-US"/>
        </w:rPr>
      </w:pPr>
    </w:p>
    <w:p w14:paraId="32974758" w14:textId="77777777" w:rsidR="00E90E49" w:rsidRPr="00F6302A" w:rsidRDefault="00E90E49" w:rsidP="00E90E49">
      <w:pPr>
        <w:pStyle w:val="Heading1"/>
        <w:rPr>
          <w:lang w:val="en-US"/>
        </w:rPr>
      </w:pPr>
      <w:r w:rsidRPr="00F6302A">
        <w:rPr>
          <w:lang w:val="en-US"/>
        </w:rPr>
        <w:t>Introduction</w:t>
      </w:r>
    </w:p>
    <w:p w14:paraId="7098DC13" w14:textId="2DDD9F45" w:rsidR="00477768" w:rsidRPr="00F6302A" w:rsidRDefault="0094547B" w:rsidP="0027144F">
      <w:pPr>
        <w:pStyle w:val="BodyText"/>
        <w:rPr>
          <w:lang w:val="en-US"/>
        </w:rPr>
      </w:pPr>
      <w:r>
        <w:rPr>
          <w:lang w:val="en-US"/>
        </w:rPr>
        <w:t xml:space="preserve">During recent months, work on IAB RF and RRM core requirements has proceeded in RAN4 and is approaching completion. The performance work for IAB will now commence. This contribution </w:t>
      </w:r>
      <w:r w:rsidR="00CC5711">
        <w:rPr>
          <w:lang w:val="en-US"/>
        </w:rPr>
        <w:t>considers IAB-MT performance requirements. An overview of IAB and proposal for IAB-DU requirements is provided in [1].</w:t>
      </w:r>
    </w:p>
    <w:p w14:paraId="70BE1694" w14:textId="69DADB10" w:rsidR="006E062C" w:rsidRDefault="00CC5711" w:rsidP="006E062C">
      <w:pPr>
        <w:pStyle w:val="Heading1"/>
        <w:rPr>
          <w:lang w:val="en-US"/>
        </w:rPr>
      </w:pPr>
      <w:r>
        <w:rPr>
          <w:lang w:val="en-US"/>
        </w:rPr>
        <w:t>Discussion</w:t>
      </w:r>
    </w:p>
    <w:p w14:paraId="35154357" w14:textId="77777777" w:rsidR="0069164B" w:rsidRDefault="0069164B" w:rsidP="008D6D1A">
      <w:pPr>
        <w:rPr>
          <w:lang w:val="en-US"/>
        </w:rPr>
      </w:pPr>
    </w:p>
    <w:p w14:paraId="0BC53C9F" w14:textId="77777777" w:rsidR="0069164B" w:rsidRDefault="001E114C" w:rsidP="008D6D1A">
      <w:pPr>
        <w:rPr>
          <w:lang w:val="en-US"/>
        </w:rPr>
      </w:pPr>
      <w:r>
        <w:rPr>
          <w:lang w:val="en-US"/>
        </w:rPr>
        <w:t>For the IAB-MT, considering UE performance requirements is an obvious starting point. However, there are some aspects of performance requirements and testing that will differ from the UE approach.</w:t>
      </w:r>
    </w:p>
    <w:p w14:paraId="0E6FBF13" w14:textId="4FECFEB2" w:rsidR="006928A4" w:rsidRDefault="001E114C" w:rsidP="008D6D1A">
      <w:pPr>
        <w:rPr>
          <w:lang w:val="en-US"/>
        </w:rPr>
      </w:pPr>
      <w:bookmarkStart w:id="0" w:name="_Hlk43890291"/>
      <w:r>
        <w:rPr>
          <w:lang w:val="en-US"/>
        </w:rPr>
        <w:t>UE core requirements are based on FRCs that assume FDD or a certain TDD slot pattern. Furthermore, the 15kHz SCS is tied to the FDD requirements and the 30k</w:t>
      </w:r>
      <w:r w:rsidR="003C0CFF">
        <w:rPr>
          <w:lang w:val="en-US"/>
        </w:rPr>
        <w:t>Hz</w:t>
      </w:r>
      <w:r>
        <w:rPr>
          <w:lang w:val="en-US"/>
        </w:rPr>
        <w:t xml:space="preserve"> SCS tied to the TDD requirements.</w:t>
      </w:r>
      <w:r w:rsidR="006928A4">
        <w:rPr>
          <w:lang w:val="en-US"/>
        </w:rPr>
        <w:t xml:space="preserve"> </w:t>
      </w:r>
      <w:r w:rsidR="00667257">
        <w:rPr>
          <w:lang w:val="en-US"/>
        </w:rPr>
        <w:t>Only TDD</w:t>
      </w:r>
      <w:r w:rsidR="003F3FE4">
        <w:rPr>
          <w:lang w:val="en-US"/>
        </w:rPr>
        <w:t xml:space="preserve"> is applicable for </w:t>
      </w:r>
      <w:r w:rsidR="00667257">
        <w:rPr>
          <w:lang w:val="en-US"/>
        </w:rPr>
        <w:t>IAB</w:t>
      </w:r>
      <w:r w:rsidR="003F3FE4">
        <w:rPr>
          <w:lang w:val="en-US"/>
        </w:rPr>
        <w:t xml:space="preserve"> in release 16.</w:t>
      </w:r>
    </w:p>
    <w:p w14:paraId="02DD9937" w14:textId="77777777" w:rsidR="000B3CBC" w:rsidRDefault="001E114C" w:rsidP="008D6D1A">
      <w:pPr>
        <w:rPr>
          <w:lang w:val="en-US"/>
        </w:rPr>
      </w:pPr>
      <w:bookmarkStart w:id="1" w:name="_Hlk43890331"/>
      <w:bookmarkEnd w:id="0"/>
      <w:r>
        <w:rPr>
          <w:lang w:val="en-US"/>
        </w:rPr>
        <w:t xml:space="preserve">In rel-16, the </w:t>
      </w:r>
      <w:r w:rsidR="007E04CC">
        <w:rPr>
          <w:lang w:val="en-US"/>
        </w:rPr>
        <w:t xml:space="preserve">IAB-MT will receive from the parent during downlink slots, </w:t>
      </w:r>
      <w:r w:rsidR="000B3CBC">
        <w:rPr>
          <w:lang w:val="en-US"/>
        </w:rPr>
        <w:t xml:space="preserve">and the IAB-DU will transmit to UEs that it serves during downlink slots. Simultaneous DU/MT transmission is not specified in rel-16. Furthermore, for RF architectures in which the same hardware is used for DU and MT, simultaneous transmission and reception is not feasible. This means that downlink slots need to be divided between opportunities for the IAB-DU to transmit and opportunities for the IAB-MT to receive. </w:t>
      </w:r>
      <w:r w:rsidR="009D3ABD">
        <w:rPr>
          <w:lang w:val="en-US"/>
        </w:rPr>
        <w:t xml:space="preserve">If the network uses ‘DDDSU’, </w:t>
      </w:r>
      <w:r w:rsidR="00AE5B37">
        <w:rPr>
          <w:lang w:val="en-US"/>
        </w:rPr>
        <w:t xml:space="preserve">for example, </w:t>
      </w:r>
      <w:r w:rsidR="009D3ABD">
        <w:rPr>
          <w:lang w:val="en-US"/>
        </w:rPr>
        <w:t xml:space="preserve">the TDD DL pattern could be ‘DDDSU’, ‘DDXSU’, or ‘DXXSU’, according to the configuration, where ‘X’ </w:t>
      </w:r>
      <w:r w:rsidR="00AE5B37">
        <w:rPr>
          <w:lang w:val="en-US"/>
        </w:rPr>
        <w:t>means</w:t>
      </w:r>
      <w:r w:rsidR="009D3ABD">
        <w:rPr>
          <w:lang w:val="en-US"/>
        </w:rPr>
        <w:t xml:space="preserve"> no DL transmission since it is used for IAB-DU transmission. </w:t>
      </w:r>
      <w:r w:rsidR="000B3CBC">
        <w:rPr>
          <w:lang w:val="en-US"/>
        </w:rPr>
        <w:t xml:space="preserve">From the IAB-MT perspective, the TDD pattern depends on when the IAB-MT will receive and transmit, which is a proprietary configuration of the operator dependent on the configuration. There are thus </w:t>
      </w:r>
      <w:proofErr w:type="gramStart"/>
      <w:r w:rsidR="000B3CBC">
        <w:rPr>
          <w:lang w:val="en-US"/>
        </w:rPr>
        <w:t>a large number of</w:t>
      </w:r>
      <w:proofErr w:type="gramEnd"/>
      <w:r w:rsidR="000B3CBC">
        <w:rPr>
          <w:lang w:val="en-US"/>
        </w:rPr>
        <w:t xml:space="preserve"> potential IAB-MT RX slot configurations.</w:t>
      </w:r>
      <w:bookmarkEnd w:id="1"/>
    </w:p>
    <w:p w14:paraId="0A4B85B6" w14:textId="77777777" w:rsidR="000B3CBC" w:rsidRDefault="000B3CBC" w:rsidP="008D6D1A">
      <w:pPr>
        <w:rPr>
          <w:b/>
          <w:bCs/>
          <w:lang w:val="en-US"/>
        </w:rPr>
      </w:pPr>
      <w:bookmarkStart w:id="2" w:name="_Hlk43890372"/>
      <w:r>
        <w:rPr>
          <w:b/>
          <w:bCs/>
          <w:lang w:val="en-US"/>
        </w:rPr>
        <w:t xml:space="preserve">Observation 1: There are potentially </w:t>
      </w:r>
      <w:proofErr w:type="gramStart"/>
      <w:r>
        <w:rPr>
          <w:b/>
          <w:bCs/>
          <w:lang w:val="en-US"/>
        </w:rPr>
        <w:t>a large number of</w:t>
      </w:r>
      <w:proofErr w:type="gramEnd"/>
      <w:r>
        <w:rPr>
          <w:b/>
          <w:bCs/>
          <w:lang w:val="en-US"/>
        </w:rPr>
        <w:t xml:space="preserve"> IAB-MT RX slot configurations</w:t>
      </w:r>
    </w:p>
    <w:p w14:paraId="0E55497A" w14:textId="77777777" w:rsidR="000B3CBC" w:rsidRDefault="000B3CBC" w:rsidP="008D6D1A">
      <w:pPr>
        <w:rPr>
          <w:lang w:val="en-US"/>
        </w:rPr>
      </w:pPr>
    </w:p>
    <w:p w14:paraId="78F073D2" w14:textId="77777777" w:rsidR="000B3CBC" w:rsidRDefault="000B3CBC" w:rsidP="008D6D1A">
      <w:pPr>
        <w:rPr>
          <w:lang w:val="en-US"/>
        </w:rPr>
      </w:pPr>
      <w:r>
        <w:rPr>
          <w:lang w:val="en-US"/>
        </w:rPr>
        <w:t xml:space="preserve">UE FRCs for the performance requirements are tied to a specific TDD pattern. This differs from the BS approach, in which FRCs are defined on a slot basis and are applicable for any TDD slot configuration and </w:t>
      </w:r>
      <w:r>
        <w:rPr>
          <w:lang w:val="en-US"/>
        </w:rPr>
        <w:lastRenderedPageBreak/>
        <w:t xml:space="preserve">for FDD. For the IAB-MT, since the number of variations of RX slot configuration could be large, it would be appropriate to decouple the FRC from the slot configuration by specifying slot based FRCs in a manner </w:t>
      </w:r>
      <w:proofErr w:type="gramStart"/>
      <w:r>
        <w:rPr>
          <w:lang w:val="en-US"/>
        </w:rPr>
        <w:t>similar to</w:t>
      </w:r>
      <w:proofErr w:type="gramEnd"/>
      <w:r>
        <w:rPr>
          <w:lang w:val="en-US"/>
        </w:rPr>
        <w:t xml:space="preserve"> the BS specs.</w:t>
      </w:r>
    </w:p>
    <w:p w14:paraId="3B983E2E" w14:textId="0136E562" w:rsidR="000B3CBC" w:rsidRDefault="000B3CBC" w:rsidP="008D6D1A">
      <w:pPr>
        <w:rPr>
          <w:b/>
          <w:bCs/>
          <w:lang w:val="en-US"/>
        </w:rPr>
      </w:pPr>
      <w:r>
        <w:rPr>
          <w:b/>
          <w:bCs/>
          <w:lang w:val="en-US"/>
        </w:rPr>
        <w:t xml:space="preserve">Proposal </w:t>
      </w:r>
      <w:r w:rsidR="00CC5711">
        <w:rPr>
          <w:b/>
          <w:bCs/>
          <w:lang w:val="en-US"/>
        </w:rPr>
        <w:t>1</w:t>
      </w:r>
      <w:r>
        <w:rPr>
          <w:b/>
          <w:bCs/>
          <w:lang w:val="en-US"/>
        </w:rPr>
        <w:t>: Specify IAB-MT FRCs using the BS spec approach (i.e. single slot FRCs that are applicable for any TDD pattern).</w:t>
      </w:r>
    </w:p>
    <w:bookmarkEnd w:id="2"/>
    <w:p w14:paraId="5A9648BF" w14:textId="74E66FFE" w:rsidR="000B3CBC" w:rsidRPr="00D41EB1" w:rsidRDefault="00D81F9E" w:rsidP="008D6D1A">
      <w:pPr>
        <w:rPr>
          <w:lang w:val="en-US"/>
        </w:rPr>
      </w:pPr>
      <w:r>
        <w:rPr>
          <w:lang w:val="en-US"/>
        </w:rPr>
        <w:t xml:space="preserve">Further consideration is needed on how the k1 parameter is specified and on the need for and specification of SSB and TRS, preferably in a manner that is agnostic to the </w:t>
      </w:r>
      <w:proofErr w:type="gramStart"/>
      <w:r>
        <w:rPr>
          <w:lang w:val="en-US"/>
        </w:rPr>
        <w:t>actually used</w:t>
      </w:r>
      <w:proofErr w:type="gramEnd"/>
      <w:r>
        <w:rPr>
          <w:lang w:val="en-US"/>
        </w:rPr>
        <w:t xml:space="preserve"> RX slot pattern.</w:t>
      </w:r>
      <w:r w:rsidR="00173FE1">
        <w:rPr>
          <w:lang w:val="en-US"/>
        </w:rPr>
        <w:t xml:space="preserve"> We note that for the BS performance requirements, synchronization is not obtained via </w:t>
      </w:r>
      <w:r w:rsidR="00A16CF0">
        <w:rPr>
          <w:lang w:val="en-US"/>
        </w:rPr>
        <w:t>test signals and thus if a similar approach would be taken to IAB demodulation testing as for the BS, then SSB and TRS may not be needed.</w:t>
      </w:r>
    </w:p>
    <w:p w14:paraId="52719FA7" w14:textId="77777777" w:rsidR="00D81F9E" w:rsidRDefault="00D81F9E" w:rsidP="008D6D1A">
      <w:pPr>
        <w:rPr>
          <w:b/>
          <w:bCs/>
          <w:lang w:val="en-US"/>
        </w:rPr>
      </w:pPr>
    </w:p>
    <w:p w14:paraId="6C06A275" w14:textId="4CEEF9CB" w:rsidR="000B3CBC" w:rsidRDefault="003B1843" w:rsidP="008D6D1A">
      <w:pPr>
        <w:rPr>
          <w:lang w:val="en-US"/>
        </w:rPr>
      </w:pPr>
      <w:r>
        <w:rPr>
          <w:lang w:val="en-US"/>
        </w:rPr>
        <w:t xml:space="preserve">IABs are not </w:t>
      </w:r>
      <w:r w:rsidR="00E91758">
        <w:rPr>
          <w:lang w:val="en-US"/>
        </w:rPr>
        <w:t xml:space="preserve">moving </w:t>
      </w:r>
      <w:r>
        <w:rPr>
          <w:lang w:val="en-US"/>
        </w:rPr>
        <w:t xml:space="preserve">in rel-16, and thus there will be no Doppler. </w:t>
      </w:r>
      <w:bookmarkStart w:id="3" w:name="_Hlk43890820"/>
      <w:r w:rsidR="00914D67">
        <w:rPr>
          <w:lang w:val="en-US"/>
        </w:rPr>
        <w:t>Furthermore, for FR1 there will not be any FDD requirements. It could thus be discussed further whether there is any need to provide performance requirements for the 15kHz SCS.</w:t>
      </w:r>
      <w:r w:rsidR="006B4D0B">
        <w:rPr>
          <w:lang w:val="en-US"/>
        </w:rPr>
        <w:t xml:space="preserve"> The backhaul link is expected to provide high capacity, especially for the wide area IAB case</w:t>
      </w:r>
      <w:r w:rsidR="003117B3">
        <w:rPr>
          <w:lang w:val="en-US"/>
        </w:rPr>
        <w:t>. At least for the wide area IAB, the link is expected to be stable and planned for high SNR. Thus, the demodulation requirements could be restricted to higher SNR and demodulation order.</w:t>
      </w:r>
      <w:bookmarkEnd w:id="3"/>
    </w:p>
    <w:p w14:paraId="559345B5" w14:textId="78D89B6A" w:rsidR="003117B3" w:rsidRDefault="003117B3" w:rsidP="008D6D1A">
      <w:pPr>
        <w:rPr>
          <w:b/>
          <w:bCs/>
          <w:lang w:val="en-US"/>
        </w:rPr>
      </w:pPr>
      <w:r>
        <w:rPr>
          <w:b/>
          <w:bCs/>
          <w:lang w:val="en-US"/>
        </w:rPr>
        <w:t xml:space="preserve">Proposal </w:t>
      </w:r>
      <w:r w:rsidR="00CC5711">
        <w:rPr>
          <w:b/>
          <w:bCs/>
          <w:lang w:val="en-US"/>
        </w:rPr>
        <w:t>2</w:t>
      </w:r>
      <w:r>
        <w:rPr>
          <w:b/>
          <w:bCs/>
          <w:lang w:val="en-US"/>
        </w:rPr>
        <w:t xml:space="preserve">: The scope of the IAB-MT demodulation requirements should </w:t>
      </w:r>
      <w:proofErr w:type="gramStart"/>
      <w:r>
        <w:rPr>
          <w:b/>
          <w:bCs/>
          <w:lang w:val="en-US"/>
        </w:rPr>
        <w:t>be considered to be</w:t>
      </w:r>
      <w:proofErr w:type="gramEnd"/>
      <w:r>
        <w:rPr>
          <w:b/>
          <w:bCs/>
          <w:lang w:val="en-US"/>
        </w:rPr>
        <w:t xml:space="preserve"> scoped with the following considerations:</w:t>
      </w:r>
    </w:p>
    <w:p w14:paraId="03418421" w14:textId="77A9DB25" w:rsidR="0096087D" w:rsidRDefault="0096087D" w:rsidP="003117B3">
      <w:pPr>
        <w:numPr>
          <w:ilvl w:val="0"/>
          <w:numId w:val="10"/>
        </w:numPr>
        <w:rPr>
          <w:b/>
          <w:bCs/>
          <w:lang w:val="en-US"/>
        </w:rPr>
      </w:pPr>
      <w:r>
        <w:rPr>
          <w:b/>
          <w:bCs/>
          <w:lang w:val="en-US"/>
        </w:rPr>
        <w:t>FR1 and FR2</w:t>
      </w:r>
    </w:p>
    <w:p w14:paraId="0DE61D7A" w14:textId="42C4641D" w:rsidR="003117B3" w:rsidRDefault="003117B3" w:rsidP="003117B3">
      <w:pPr>
        <w:numPr>
          <w:ilvl w:val="0"/>
          <w:numId w:val="10"/>
        </w:numPr>
        <w:rPr>
          <w:b/>
          <w:bCs/>
          <w:lang w:val="en-US"/>
        </w:rPr>
      </w:pPr>
      <w:r>
        <w:rPr>
          <w:b/>
          <w:bCs/>
          <w:lang w:val="en-US"/>
        </w:rPr>
        <w:t>Only zero or very low Doppler</w:t>
      </w:r>
    </w:p>
    <w:p w14:paraId="50059A4D" w14:textId="77777777" w:rsidR="00955BF9" w:rsidRDefault="00955BF9" w:rsidP="003117B3">
      <w:pPr>
        <w:numPr>
          <w:ilvl w:val="0"/>
          <w:numId w:val="10"/>
        </w:numPr>
        <w:rPr>
          <w:b/>
          <w:bCs/>
          <w:lang w:val="en-US"/>
        </w:rPr>
      </w:pPr>
      <w:r>
        <w:rPr>
          <w:b/>
          <w:bCs/>
          <w:lang w:val="en-US"/>
        </w:rPr>
        <w:t>Single path or very low delay spread</w:t>
      </w:r>
    </w:p>
    <w:p w14:paraId="01FD52AB" w14:textId="77777777" w:rsidR="003117B3" w:rsidRDefault="003117B3" w:rsidP="003117B3">
      <w:pPr>
        <w:numPr>
          <w:ilvl w:val="0"/>
          <w:numId w:val="10"/>
        </w:numPr>
        <w:rPr>
          <w:b/>
          <w:bCs/>
          <w:lang w:val="en-US"/>
        </w:rPr>
      </w:pPr>
      <w:bookmarkStart w:id="4" w:name="_Hlk43890892"/>
      <w:r>
        <w:rPr>
          <w:b/>
          <w:bCs/>
          <w:lang w:val="en-US"/>
        </w:rPr>
        <w:t>No need for FDD requirements; potentially no need for 15kHz SCS requirements for FR1</w:t>
      </w:r>
      <w:bookmarkEnd w:id="4"/>
    </w:p>
    <w:p w14:paraId="6E5923AA" w14:textId="77777777" w:rsidR="003117B3" w:rsidRDefault="003117B3" w:rsidP="003117B3">
      <w:pPr>
        <w:numPr>
          <w:ilvl w:val="0"/>
          <w:numId w:val="10"/>
        </w:numPr>
        <w:rPr>
          <w:b/>
          <w:bCs/>
          <w:lang w:val="en-US"/>
        </w:rPr>
      </w:pPr>
      <w:r>
        <w:rPr>
          <w:b/>
          <w:bCs/>
          <w:lang w:val="en-US"/>
        </w:rPr>
        <w:t>High SNR and modulation order requirements only</w:t>
      </w:r>
    </w:p>
    <w:p w14:paraId="6CBA1DC7" w14:textId="77777777" w:rsidR="003117B3" w:rsidRDefault="00E274BB" w:rsidP="003117B3">
      <w:pPr>
        <w:rPr>
          <w:lang w:val="en-US"/>
        </w:rPr>
      </w:pPr>
      <w:r>
        <w:rPr>
          <w:lang w:val="en-US"/>
        </w:rPr>
        <w:t xml:space="preserve">Since IABs are not mobile, we don’t expect IAB-MT changes the </w:t>
      </w:r>
      <w:r w:rsidR="003659AB">
        <w:rPr>
          <w:lang w:val="en-US"/>
        </w:rPr>
        <w:t xml:space="preserve">CSI reporting so often. Especially PMI/RI reporting tests may not be applicable for IABs because of the zero or low Doppler condition. We therefore to propose to define CQI definition requirements only for IAB-MT. </w:t>
      </w:r>
    </w:p>
    <w:p w14:paraId="3B155726" w14:textId="310EB524" w:rsidR="00E274BB" w:rsidRDefault="003659AB" w:rsidP="003117B3">
      <w:pPr>
        <w:rPr>
          <w:b/>
          <w:bCs/>
          <w:lang w:val="en-US"/>
        </w:rPr>
      </w:pPr>
      <w:r>
        <w:rPr>
          <w:b/>
          <w:bCs/>
          <w:lang w:val="en-US"/>
        </w:rPr>
        <w:t xml:space="preserve">Proposal </w:t>
      </w:r>
      <w:r w:rsidR="00CC5711">
        <w:rPr>
          <w:b/>
          <w:bCs/>
          <w:lang w:val="en-US"/>
        </w:rPr>
        <w:t>3</w:t>
      </w:r>
      <w:r>
        <w:rPr>
          <w:b/>
          <w:bCs/>
          <w:lang w:val="en-US"/>
        </w:rPr>
        <w:t xml:space="preserve">: The scope of the IAB-MT CSI reporting requirements should </w:t>
      </w:r>
      <w:proofErr w:type="gramStart"/>
      <w:r>
        <w:rPr>
          <w:b/>
          <w:bCs/>
          <w:lang w:val="en-US"/>
        </w:rPr>
        <w:t>be considered to be</w:t>
      </w:r>
      <w:proofErr w:type="gramEnd"/>
      <w:r>
        <w:rPr>
          <w:b/>
          <w:bCs/>
          <w:lang w:val="en-US"/>
        </w:rPr>
        <w:t xml:space="preserve"> CQI definition test only.</w:t>
      </w:r>
    </w:p>
    <w:p w14:paraId="3CBD3063" w14:textId="77777777" w:rsidR="003659AB" w:rsidRPr="00D41EB1" w:rsidRDefault="003659AB" w:rsidP="003117B3">
      <w:pPr>
        <w:rPr>
          <w:lang w:val="en-US"/>
        </w:rPr>
      </w:pPr>
    </w:p>
    <w:p w14:paraId="40F608CD" w14:textId="77777777" w:rsidR="003117B3" w:rsidRDefault="003117B3" w:rsidP="003117B3">
      <w:pPr>
        <w:rPr>
          <w:lang w:val="en-US"/>
        </w:rPr>
      </w:pPr>
      <w:r>
        <w:rPr>
          <w:lang w:val="en-US"/>
        </w:rPr>
        <w:t>The types of propagation channel experienced by the wide area type IAB and local area type IAB are likely to differ. The wide area type IAB is likely to experience a stable line of sight channel and high SNR, whereas it is not guaranteed that the local area type IAB will have line of sight. The performance requirements should enable optimization of the IAB-MT receiver algorithms towards the expected channel type. The extent of the performance requirement scoping as discussed above may differ between the IAB classes. Furthermore, the baseband hardware and architecture may differ between the IAB classes (the RF hardware is likely to differ significantly). Thus, it may make sense to differentiate the IAB-MT requirements for the wide are</w:t>
      </w:r>
      <w:r w:rsidR="0052577B">
        <w:rPr>
          <w:lang w:val="en-US"/>
        </w:rPr>
        <w:t>a</w:t>
      </w:r>
      <w:r>
        <w:rPr>
          <w:lang w:val="en-US"/>
        </w:rPr>
        <w:t xml:space="preserve"> and local area IAB classes.</w:t>
      </w:r>
    </w:p>
    <w:p w14:paraId="39BC7B36" w14:textId="75F6CBE6" w:rsidR="003117B3" w:rsidRDefault="003117B3" w:rsidP="003117B3">
      <w:pPr>
        <w:rPr>
          <w:b/>
          <w:bCs/>
          <w:lang w:val="en-US"/>
        </w:rPr>
      </w:pPr>
      <w:r>
        <w:rPr>
          <w:b/>
          <w:bCs/>
          <w:lang w:val="en-US"/>
        </w:rPr>
        <w:t xml:space="preserve">Proposal </w:t>
      </w:r>
      <w:r w:rsidR="00CC5711">
        <w:rPr>
          <w:b/>
          <w:bCs/>
          <w:lang w:val="en-US"/>
        </w:rPr>
        <w:t>4</w:t>
      </w:r>
      <w:r>
        <w:rPr>
          <w:b/>
          <w:bCs/>
          <w:lang w:val="en-US"/>
        </w:rPr>
        <w:t>: Differentiate the IAB-MT performance requirements between the wide area class and local area class</w:t>
      </w:r>
      <w:r w:rsidR="00D0379D">
        <w:rPr>
          <w:b/>
          <w:bCs/>
          <w:lang w:val="en-US"/>
        </w:rPr>
        <w:t xml:space="preserve"> if needed</w:t>
      </w:r>
      <w:r>
        <w:rPr>
          <w:b/>
          <w:bCs/>
          <w:lang w:val="en-US"/>
        </w:rPr>
        <w:t>.</w:t>
      </w:r>
    </w:p>
    <w:p w14:paraId="0ECF9F30" w14:textId="77777777" w:rsidR="003117B3" w:rsidRDefault="003117B3" w:rsidP="003117B3">
      <w:pPr>
        <w:rPr>
          <w:lang w:val="en-US"/>
        </w:rPr>
      </w:pPr>
    </w:p>
    <w:p w14:paraId="4E1A9C60" w14:textId="77777777" w:rsidR="003117B3" w:rsidRPr="003117B3" w:rsidRDefault="003117B3" w:rsidP="003117B3">
      <w:pPr>
        <w:rPr>
          <w:lang w:val="en-US"/>
        </w:rPr>
      </w:pPr>
      <w:r>
        <w:rPr>
          <w:lang w:val="en-US"/>
        </w:rPr>
        <w:lastRenderedPageBreak/>
        <w:t>A further aspect of IAB performance requirements is that it has been agreed that IAB conformance will be specified in RAN4. This means that conformance specifications</w:t>
      </w:r>
      <w:r w:rsidR="00BC10D6">
        <w:rPr>
          <w:lang w:val="en-US"/>
        </w:rPr>
        <w:t xml:space="preserve"> need to be developed for the IAB performance requirements in RAN4, and that the assumptions on test equipment setup, MU etc. will need to be confirmed.</w:t>
      </w:r>
    </w:p>
    <w:p w14:paraId="6DEDE198" w14:textId="77777777" w:rsidR="00C01F33" w:rsidRPr="00F6302A" w:rsidRDefault="00C01F33" w:rsidP="00C01F33">
      <w:pPr>
        <w:pStyle w:val="Heading1"/>
        <w:rPr>
          <w:lang w:val="en-US"/>
        </w:rPr>
      </w:pPr>
      <w:r w:rsidRPr="00F6302A">
        <w:rPr>
          <w:lang w:val="en-US"/>
        </w:rPr>
        <w:t>Conclusion</w:t>
      </w:r>
    </w:p>
    <w:p w14:paraId="59F47270" w14:textId="77777777" w:rsidR="003117B3" w:rsidRDefault="003117B3" w:rsidP="00311702">
      <w:pPr>
        <w:rPr>
          <w:lang w:val="en-US"/>
        </w:rPr>
      </w:pPr>
      <w:r>
        <w:rPr>
          <w:lang w:val="en-US"/>
        </w:rPr>
        <w:t>This contribution has considered the IAB concept in outline and the impact for IAB performance requirements.</w:t>
      </w:r>
    </w:p>
    <w:p w14:paraId="2B276AF0" w14:textId="4BF93563" w:rsidR="00BC10D6" w:rsidRDefault="00BC10D6" w:rsidP="00BC10D6">
      <w:pPr>
        <w:rPr>
          <w:b/>
          <w:bCs/>
          <w:lang w:val="en-US"/>
        </w:rPr>
      </w:pPr>
      <w:r>
        <w:rPr>
          <w:b/>
          <w:bCs/>
          <w:lang w:val="en-US"/>
        </w:rPr>
        <w:t xml:space="preserve">Proposal </w:t>
      </w:r>
      <w:r w:rsidR="00CC5711">
        <w:rPr>
          <w:b/>
          <w:bCs/>
          <w:lang w:val="en-US"/>
        </w:rPr>
        <w:t>1</w:t>
      </w:r>
      <w:r>
        <w:rPr>
          <w:b/>
          <w:bCs/>
          <w:lang w:val="en-US"/>
        </w:rPr>
        <w:t>: Specify IAB-MT FRCs using the BS spec approach (i.e. single slot FRCs that are applicable for any TDD pattern).</w:t>
      </w:r>
    </w:p>
    <w:p w14:paraId="223E4685" w14:textId="404A4620" w:rsidR="00BC10D6" w:rsidRDefault="00BC10D6" w:rsidP="00BC10D6">
      <w:pPr>
        <w:rPr>
          <w:b/>
          <w:bCs/>
          <w:lang w:val="en-US"/>
        </w:rPr>
      </w:pPr>
      <w:r>
        <w:rPr>
          <w:b/>
          <w:bCs/>
          <w:lang w:val="en-US"/>
        </w:rPr>
        <w:t xml:space="preserve">Proposal </w:t>
      </w:r>
      <w:r w:rsidR="00CC5711">
        <w:rPr>
          <w:b/>
          <w:bCs/>
          <w:lang w:val="en-US"/>
        </w:rPr>
        <w:t>2</w:t>
      </w:r>
      <w:r>
        <w:rPr>
          <w:b/>
          <w:bCs/>
          <w:lang w:val="en-US"/>
        </w:rPr>
        <w:t xml:space="preserve">: The scope of the IAB-MT demodulation requirements should </w:t>
      </w:r>
      <w:proofErr w:type="gramStart"/>
      <w:r>
        <w:rPr>
          <w:b/>
          <w:bCs/>
          <w:lang w:val="en-US"/>
        </w:rPr>
        <w:t>be considered to be</w:t>
      </w:r>
      <w:proofErr w:type="gramEnd"/>
      <w:r>
        <w:rPr>
          <w:b/>
          <w:bCs/>
          <w:lang w:val="en-US"/>
        </w:rPr>
        <w:t xml:space="preserve"> scoped with the following considerations:</w:t>
      </w:r>
    </w:p>
    <w:p w14:paraId="59FAEDB5" w14:textId="17B0C368" w:rsidR="00687B8A" w:rsidRDefault="00687B8A" w:rsidP="00BC10D6">
      <w:pPr>
        <w:numPr>
          <w:ilvl w:val="0"/>
          <w:numId w:val="10"/>
        </w:numPr>
        <w:rPr>
          <w:b/>
          <w:bCs/>
          <w:lang w:val="en-US"/>
        </w:rPr>
      </w:pPr>
      <w:r>
        <w:rPr>
          <w:b/>
          <w:bCs/>
          <w:lang w:val="en-US"/>
        </w:rPr>
        <w:t>FR1 and FR2</w:t>
      </w:r>
    </w:p>
    <w:p w14:paraId="4A2411D1" w14:textId="1204B75C" w:rsidR="00BC10D6" w:rsidRDefault="00BC10D6" w:rsidP="00BC10D6">
      <w:pPr>
        <w:numPr>
          <w:ilvl w:val="0"/>
          <w:numId w:val="10"/>
        </w:numPr>
        <w:rPr>
          <w:b/>
          <w:bCs/>
          <w:lang w:val="en-US"/>
        </w:rPr>
      </w:pPr>
      <w:r>
        <w:rPr>
          <w:b/>
          <w:bCs/>
          <w:lang w:val="en-US"/>
        </w:rPr>
        <w:t>Only zero or very low Doppler</w:t>
      </w:r>
    </w:p>
    <w:p w14:paraId="64CC4CED" w14:textId="77777777" w:rsidR="00BC10D6" w:rsidRDefault="00BC10D6" w:rsidP="00BC10D6">
      <w:pPr>
        <w:numPr>
          <w:ilvl w:val="0"/>
          <w:numId w:val="10"/>
        </w:numPr>
        <w:rPr>
          <w:b/>
          <w:bCs/>
          <w:lang w:val="en-US"/>
        </w:rPr>
      </w:pPr>
      <w:r>
        <w:rPr>
          <w:b/>
          <w:bCs/>
          <w:lang w:val="en-US"/>
        </w:rPr>
        <w:t>No need for FDD requirements; potentially no need for 15kHz SCS requirements for FR1</w:t>
      </w:r>
    </w:p>
    <w:p w14:paraId="0CAFFD50" w14:textId="30F79A9A" w:rsidR="00BC10D6" w:rsidRDefault="00BC10D6" w:rsidP="00BC10D6">
      <w:pPr>
        <w:numPr>
          <w:ilvl w:val="0"/>
          <w:numId w:val="10"/>
        </w:numPr>
        <w:rPr>
          <w:b/>
          <w:bCs/>
          <w:lang w:val="en-US"/>
        </w:rPr>
      </w:pPr>
      <w:r>
        <w:rPr>
          <w:b/>
          <w:bCs/>
          <w:lang w:val="en-US"/>
        </w:rPr>
        <w:t>High SNR and modulation order requirements only</w:t>
      </w:r>
    </w:p>
    <w:p w14:paraId="25F2CF01" w14:textId="4895CABA" w:rsidR="00CC5711" w:rsidRPr="00D41EB1" w:rsidRDefault="00CC5711" w:rsidP="00CC5711">
      <w:pPr>
        <w:rPr>
          <w:b/>
          <w:bCs/>
          <w:lang w:val="en-US"/>
        </w:rPr>
      </w:pPr>
      <w:bookmarkStart w:id="5" w:name="_GoBack"/>
      <w:bookmarkEnd w:id="5"/>
      <w:r w:rsidRPr="00D41EB1">
        <w:rPr>
          <w:b/>
          <w:bCs/>
          <w:lang w:val="en-US"/>
        </w:rPr>
        <w:t xml:space="preserve">Proposal 3: The scope of the IAB-MT CSI reporting requirements should </w:t>
      </w:r>
      <w:proofErr w:type="gramStart"/>
      <w:r w:rsidRPr="00D41EB1">
        <w:rPr>
          <w:b/>
          <w:bCs/>
          <w:lang w:val="en-US"/>
        </w:rPr>
        <w:t>be considered to be</w:t>
      </w:r>
      <w:proofErr w:type="gramEnd"/>
      <w:r w:rsidRPr="00D41EB1">
        <w:rPr>
          <w:b/>
          <w:bCs/>
          <w:lang w:val="en-US"/>
        </w:rPr>
        <w:t xml:space="preserve"> CQI definition test only.</w:t>
      </w:r>
    </w:p>
    <w:p w14:paraId="5695980A" w14:textId="533919EC" w:rsidR="00BC10D6" w:rsidRPr="00D41EB1" w:rsidRDefault="00BC10D6" w:rsidP="00BC10D6">
      <w:pPr>
        <w:rPr>
          <w:b/>
          <w:bCs/>
          <w:lang w:val="en-US"/>
        </w:rPr>
      </w:pPr>
      <w:r w:rsidRPr="00D41EB1">
        <w:rPr>
          <w:b/>
          <w:bCs/>
          <w:lang w:val="en-US"/>
        </w:rPr>
        <w:t xml:space="preserve">Proposal </w:t>
      </w:r>
      <w:r w:rsidR="00CC5711" w:rsidRPr="00D41EB1">
        <w:rPr>
          <w:b/>
          <w:bCs/>
          <w:lang w:val="en-US"/>
        </w:rPr>
        <w:t>4</w:t>
      </w:r>
      <w:r w:rsidRPr="00D41EB1">
        <w:rPr>
          <w:b/>
          <w:bCs/>
          <w:lang w:val="en-US"/>
        </w:rPr>
        <w:t>: Differentiate the IAB-MT performance requirements between the wide area class and local area class</w:t>
      </w:r>
      <w:r w:rsidR="00D41EB1" w:rsidRPr="00D41EB1">
        <w:rPr>
          <w:b/>
          <w:bCs/>
          <w:lang w:val="en-US"/>
        </w:rPr>
        <w:t xml:space="preserve"> if needed</w:t>
      </w:r>
      <w:r w:rsidRPr="00D41EB1">
        <w:rPr>
          <w:b/>
          <w:bCs/>
          <w:lang w:val="en-US"/>
        </w:rPr>
        <w:t>.</w:t>
      </w:r>
    </w:p>
    <w:p w14:paraId="43F69764" w14:textId="77777777" w:rsidR="00C01F33" w:rsidRPr="00D41EB1" w:rsidRDefault="00C01F33" w:rsidP="006E062C">
      <w:pPr>
        <w:rPr>
          <w:lang w:val="en-US"/>
        </w:rPr>
      </w:pPr>
    </w:p>
    <w:p w14:paraId="661AB669" w14:textId="77777777" w:rsidR="00F507D1" w:rsidRPr="00D41EB1" w:rsidRDefault="00F507D1" w:rsidP="00F507D1">
      <w:pPr>
        <w:pStyle w:val="Heading1"/>
        <w:rPr>
          <w:lang w:val="en-US"/>
        </w:rPr>
      </w:pPr>
      <w:bookmarkStart w:id="6" w:name="_In-sequence_SDU_delivery"/>
      <w:bookmarkEnd w:id="6"/>
      <w:r w:rsidRPr="00D41EB1">
        <w:rPr>
          <w:lang w:val="en-US"/>
        </w:rPr>
        <w:t>References</w:t>
      </w:r>
    </w:p>
    <w:p w14:paraId="29D4C73E" w14:textId="257986F1" w:rsidR="004D36B1" w:rsidRPr="00D41EB1" w:rsidRDefault="00E46F55" w:rsidP="00311702">
      <w:pPr>
        <w:pStyle w:val="Reference"/>
        <w:rPr>
          <w:lang w:val="en-US"/>
        </w:rPr>
      </w:pPr>
      <w:bookmarkStart w:id="7" w:name="_Ref174151459"/>
      <w:bookmarkStart w:id="8" w:name="_Ref189809556"/>
      <w:r w:rsidRPr="00D41EB1">
        <w:rPr>
          <w:lang w:val="en-US"/>
        </w:rPr>
        <w:t>Ericsson</w:t>
      </w:r>
      <w:r w:rsidR="00311702" w:rsidRPr="00D41EB1">
        <w:rPr>
          <w:lang w:val="en-US"/>
        </w:rPr>
        <w:t xml:space="preserve">, </w:t>
      </w:r>
      <w:r w:rsidR="001C3D2A" w:rsidRPr="00D41EB1">
        <w:rPr>
          <w:lang w:val="en-US"/>
        </w:rPr>
        <w:t>“</w:t>
      </w:r>
      <w:r w:rsidRPr="00D41EB1">
        <w:rPr>
          <w:lang w:val="en-US"/>
        </w:rPr>
        <w:t>IAB performance requirements (General)</w:t>
      </w:r>
      <w:r w:rsidR="004D36B1" w:rsidRPr="00D41EB1">
        <w:rPr>
          <w:lang w:val="en-US"/>
        </w:rPr>
        <w:t xml:space="preserve">”, </w:t>
      </w:r>
      <w:bookmarkEnd w:id="7"/>
      <w:r w:rsidR="00D41EB1" w:rsidRPr="00D41EB1">
        <w:rPr>
          <w:lang w:val="en-US"/>
        </w:rPr>
        <w:t>R4-2010844</w:t>
      </w:r>
      <w:r w:rsidR="001C3D2A" w:rsidRPr="00D41EB1">
        <w:rPr>
          <w:lang w:val="en-US"/>
        </w:rPr>
        <w:t xml:space="preserve">, </w:t>
      </w:r>
      <w:r w:rsidRPr="00D41EB1">
        <w:rPr>
          <w:lang w:val="en-US"/>
        </w:rPr>
        <w:t>RAN4#96-e</w:t>
      </w:r>
      <w:r w:rsidR="00311702" w:rsidRPr="00D41EB1">
        <w:rPr>
          <w:lang w:val="en-US"/>
        </w:rPr>
        <w:t xml:space="preserve">, </w:t>
      </w:r>
      <w:bookmarkEnd w:id="8"/>
      <w:r w:rsidRPr="00D41EB1">
        <w:rPr>
          <w:lang w:val="en-US"/>
        </w:rPr>
        <w:t>August 2020</w:t>
      </w:r>
    </w:p>
    <w:p w14:paraId="62EC5AFB" w14:textId="77777777" w:rsidR="003A7EF3" w:rsidRPr="00F6302A" w:rsidRDefault="003A7EF3" w:rsidP="00311702">
      <w:pPr>
        <w:pStyle w:val="BodyText"/>
        <w:rPr>
          <w:lang w:val="en-US"/>
        </w:rPr>
      </w:pPr>
    </w:p>
    <w:sectPr w:rsidR="003A7EF3" w:rsidRPr="00F6302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A087B" w14:textId="77777777" w:rsidR="00477BC0" w:rsidRDefault="00477BC0">
      <w:r>
        <w:separator/>
      </w:r>
    </w:p>
  </w:endnote>
  <w:endnote w:type="continuationSeparator" w:id="0">
    <w:p w14:paraId="7CAC0FF0" w14:textId="77777777" w:rsidR="00477BC0" w:rsidRDefault="0047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A7289"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F78F4" w14:textId="77777777" w:rsidR="00477BC0" w:rsidRDefault="00477BC0">
      <w:r>
        <w:separator/>
      </w:r>
    </w:p>
  </w:footnote>
  <w:footnote w:type="continuationSeparator" w:id="0">
    <w:p w14:paraId="019E895D" w14:textId="77777777" w:rsidR="00477BC0" w:rsidRDefault="0047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EF40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394E66"/>
    <w:multiLevelType w:val="hybridMultilevel"/>
    <w:tmpl w:val="D018D9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607882"/>
    <w:multiLevelType w:val="hybridMultilevel"/>
    <w:tmpl w:val="A4C0F17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7"/>
  </w:num>
  <w:num w:numId="7">
    <w:abstractNumId w:val="10"/>
  </w:num>
  <w:num w:numId="8">
    <w:abstractNumId w:val="4"/>
  </w:num>
  <w:num w:numId="9">
    <w:abstractNumId w:val="2"/>
  </w:num>
  <w:num w:numId="10">
    <w:abstractNumId w:val="1"/>
  </w:num>
  <w:num w:numId="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48B3"/>
    <w:rsid w:val="000855EB"/>
    <w:rsid w:val="00085B52"/>
    <w:rsid w:val="000866F2"/>
    <w:rsid w:val="0009009F"/>
    <w:rsid w:val="00091557"/>
    <w:rsid w:val="000924C1"/>
    <w:rsid w:val="000924F0"/>
    <w:rsid w:val="00093474"/>
    <w:rsid w:val="0009510F"/>
    <w:rsid w:val="000A1B7B"/>
    <w:rsid w:val="000A56F2"/>
    <w:rsid w:val="000B2719"/>
    <w:rsid w:val="000B3A8F"/>
    <w:rsid w:val="000B3CBC"/>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3FE1"/>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114C"/>
    <w:rsid w:val="001E58E2"/>
    <w:rsid w:val="001E7AED"/>
    <w:rsid w:val="001F3916"/>
    <w:rsid w:val="001F54C5"/>
    <w:rsid w:val="001F662C"/>
    <w:rsid w:val="001F7074"/>
    <w:rsid w:val="001F7630"/>
    <w:rsid w:val="00200490"/>
    <w:rsid w:val="00201F3A"/>
    <w:rsid w:val="00203F96"/>
    <w:rsid w:val="00204BF1"/>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5F29"/>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7B3"/>
    <w:rsid w:val="00311E82"/>
    <w:rsid w:val="00313FD6"/>
    <w:rsid w:val="003143BD"/>
    <w:rsid w:val="003203ED"/>
    <w:rsid w:val="00322C9F"/>
    <w:rsid w:val="00324A10"/>
    <w:rsid w:val="00324D23"/>
    <w:rsid w:val="00331751"/>
    <w:rsid w:val="00334579"/>
    <w:rsid w:val="00335858"/>
    <w:rsid w:val="00336BDA"/>
    <w:rsid w:val="00342BD7"/>
    <w:rsid w:val="00346DB5"/>
    <w:rsid w:val="003477B1"/>
    <w:rsid w:val="00357380"/>
    <w:rsid w:val="003602D9"/>
    <w:rsid w:val="003604CE"/>
    <w:rsid w:val="003659AB"/>
    <w:rsid w:val="00370E47"/>
    <w:rsid w:val="003742AC"/>
    <w:rsid w:val="00377CE1"/>
    <w:rsid w:val="00385BF0"/>
    <w:rsid w:val="003939FF"/>
    <w:rsid w:val="003A2223"/>
    <w:rsid w:val="003A2A0F"/>
    <w:rsid w:val="003A45A1"/>
    <w:rsid w:val="003A5B0A"/>
    <w:rsid w:val="003A6BAC"/>
    <w:rsid w:val="003A7EF3"/>
    <w:rsid w:val="003B159C"/>
    <w:rsid w:val="003B1843"/>
    <w:rsid w:val="003B369F"/>
    <w:rsid w:val="003B36A3"/>
    <w:rsid w:val="003B7FE5"/>
    <w:rsid w:val="003C0CFF"/>
    <w:rsid w:val="003C11C8"/>
    <w:rsid w:val="003C2702"/>
    <w:rsid w:val="003C7806"/>
    <w:rsid w:val="003D109F"/>
    <w:rsid w:val="003D2478"/>
    <w:rsid w:val="003D5B1F"/>
    <w:rsid w:val="003E15FA"/>
    <w:rsid w:val="003E55E4"/>
    <w:rsid w:val="003E74E3"/>
    <w:rsid w:val="003F05C7"/>
    <w:rsid w:val="003F2CD4"/>
    <w:rsid w:val="003F3FE4"/>
    <w:rsid w:val="003F6BBE"/>
    <w:rsid w:val="004000E8"/>
    <w:rsid w:val="00402E2B"/>
    <w:rsid w:val="00404D58"/>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77BC0"/>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77B"/>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061"/>
    <w:rsid w:val="00620A71"/>
    <w:rsid w:val="00620D80"/>
    <w:rsid w:val="006234A6"/>
    <w:rsid w:val="00625BCC"/>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257"/>
    <w:rsid w:val="00667EE7"/>
    <w:rsid w:val="00670922"/>
    <w:rsid w:val="00670BE1"/>
    <w:rsid w:val="0067218F"/>
    <w:rsid w:val="006741F2"/>
    <w:rsid w:val="00674CC3"/>
    <w:rsid w:val="00675C72"/>
    <w:rsid w:val="006771F9"/>
    <w:rsid w:val="006776D7"/>
    <w:rsid w:val="00681003"/>
    <w:rsid w:val="006817C9"/>
    <w:rsid w:val="00683ECE"/>
    <w:rsid w:val="00687B8A"/>
    <w:rsid w:val="0069164B"/>
    <w:rsid w:val="006928A4"/>
    <w:rsid w:val="00695FC2"/>
    <w:rsid w:val="00696949"/>
    <w:rsid w:val="00697052"/>
    <w:rsid w:val="006A46FB"/>
    <w:rsid w:val="006A5E28"/>
    <w:rsid w:val="006A697B"/>
    <w:rsid w:val="006A7AFF"/>
    <w:rsid w:val="006B1816"/>
    <w:rsid w:val="006B2099"/>
    <w:rsid w:val="006B4D0B"/>
    <w:rsid w:val="006B50CF"/>
    <w:rsid w:val="006C03B8"/>
    <w:rsid w:val="006C322D"/>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96AE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4CC"/>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F7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1899"/>
    <w:rsid w:val="00902350"/>
    <w:rsid w:val="0090336B"/>
    <w:rsid w:val="009053AA"/>
    <w:rsid w:val="00906939"/>
    <w:rsid w:val="00910B7D"/>
    <w:rsid w:val="00911DFB"/>
    <w:rsid w:val="009139D9"/>
    <w:rsid w:val="00914AD8"/>
    <w:rsid w:val="00914D67"/>
    <w:rsid w:val="00916079"/>
    <w:rsid w:val="00917CE9"/>
    <w:rsid w:val="00920BF2"/>
    <w:rsid w:val="00922010"/>
    <w:rsid w:val="00931BD9"/>
    <w:rsid w:val="009368F3"/>
    <w:rsid w:val="00941636"/>
    <w:rsid w:val="00943742"/>
    <w:rsid w:val="0094547B"/>
    <w:rsid w:val="00945C05"/>
    <w:rsid w:val="00946945"/>
    <w:rsid w:val="00947713"/>
    <w:rsid w:val="00950DE7"/>
    <w:rsid w:val="00953920"/>
    <w:rsid w:val="00953D47"/>
    <w:rsid w:val="00955BF9"/>
    <w:rsid w:val="0095681E"/>
    <w:rsid w:val="009572D4"/>
    <w:rsid w:val="0096087D"/>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3ABD"/>
    <w:rsid w:val="009D4FF0"/>
    <w:rsid w:val="009D703C"/>
    <w:rsid w:val="009D718F"/>
    <w:rsid w:val="009E068F"/>
    <w:rsid w:val="009E14E0"/>
    <w:rsid w:val="009E35DB"/>
    <w:rsid w:val="009E47A3"/>
    <w:rsid w:val="009F08F3"/>
    <w:rsid w:val="009F344F"/>
    <w:rsid w:val="00A048A8"/>
    <w:rsid w:val="00A13E54"/>
    <w:rsid w:val="00A16CF0"/>
    <w:rsid w:val="00A17F63"/>
    <w:rsid w:val="00A2193B"/>
    <w:rsid w:val="00A2351A"/>
    <w:rsid w:val="00A264A9"/>
    <w:rsid w:val="00A27785"/>
    <w:rsid w:val="00A30187"/>
    <w:rsid w:val="00A3448A"/>
    <w:rsid w:val="00A36297"/>
    <w:rsid w:val="00A41E2B"/>
    <w:rsid w:val="00A45B74"/>
    <w:rsid w:val="00A45BE6"/>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5B3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75E2"/>
    <w:rsid w:val="00B664C7"/>
    <w:rsid w:val="00B733EE"/>
    <w:rsid w:val="00B739F6"/>
    <w:rsid w:val="00B81A6C"/>
    <w:rsid w:val="00B85DE5"/>
    <w:rsid w:val="00B90F73"/>
    <w:rsid w:val="00B93B59"/>
    <w:rsid w:val="00B9406A"/>
    <w:rsid w:val="00BA2280"/>
    <w:rsid w:val="00BA2A08"/>
    <w:rsid w:val="00BA56D2"/>
    <w:rsid w:val="00BA76E0"/>
    <w:rsid w:val="00BB2A25"/>
    <w:rsid w:val="00BB51E9"/>
    <w:rsid w:val="00BC0FDC"/>
    <w:rsid w:val="00BC10D6"/>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6028"/>
    <w:rsid w:val="00CA1ED8"/>
    <w:rsid w:val="00CB1F63"/>
    <w:rsid w:val="00CB7170"/>
    <w:rsid w:val="00CC040E"/>
    <w:rsid w:val="00CC111F"/>
    <w:rsid w:val="00CC2011"/>
    <w:rsid w:val="00CC3EA0"/>
    <w:rsid w:val="00CC5711"/>
    <w:rsid w:val="00CC7B45"/>
    <w:rsid w:val="00CD1188"/>
    <w:rsid w:val="00CD2ED1"/>
    <w:rsid w:val="00CD337B"/>
    <w:rsid w:val="00CE7561"/>
    <w:rsid w:val="00CF1354"/>
    <w:rsid w:val="00CF3B1F"/>
    <w:rsid w:val="00CF3BF6"/>
    <w:rsid w:val="00CF625B"/>
    <w:rsid w:val="00CF687E"/>
    <w:rsid w:val="00D0349B"/>
    <w:rsid w:val="00D0379D"/>
    <w:rsid w:val="00D10249"/>
    <w:rsid w:val="00D115C3"/>
    <w:rsid w:val="00D11897"/>
    <w:rsid w:val="00D13135"/>
    <w:rsid w:val="00D13E4E"/>
    <w:rsid w:val="00D239A7"/>
    <w:rsid w:val="00D23F47"/>
    <w:rsid w:val="00D36E71"/>
    <w:rsid w:val="00D37D87"/>
    <w:rsid w:val="00D40B33"/>
    <w:rsid w:val="00D41EB1"/>
    <w:rsid w:val="00D4318F"/>
    <w:rsid w:val="00D438BF"/>
    <w:rsid w:val="00D440F8"/>
    <w:rsid w:val="00D546FF"/>
    <w:rsid w:val="00D55AD5"/>
    <w:rsid w:val="00D576CA"/>
    <w:rsid w:val="00D61AF5"/>
    <w:rsid w:val="00D652B5"/>
    <w:rsid w:val="00D66155"/>
    <w:rsid w:val="00D708B0"/>
    <w:rsid w:val="00D77B1D"/>
    <w:rsid w:val="00D8021F"/>
    <w:rsid w:val="00D80383"/>
    <w:rsid w:val="00D81F9E"/>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274BB"/>
    <w:rsid w:val="00E30B5A"/>
    <w:rsid w:val="00E3123D"/>
    <w:rsid w:val="00E31461"/>
    <w:rsid w:val="00E31D43"/>
    <w:rsid w:val="00E32608"/>
    <w:rsid w:val="00E34188"/>
    <w:rsid w:val="00E34B6E"/>
    <w:rsid w:val="00E35559"/>
    <w:rsid w:val="00E3723A"/>
    <w:rsid w:val="00E37860"/>
    <w:rsid w:val="00E446F1"/>
    <w:rsid w:val="00E46886"/>
    <w:rsid w:val="00E46F55"/>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58"/>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A8C"/>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33B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EF284"/>
  <w15:chartTrackingRefBased/>
  <w15:docId w15:val="{D7F44062-0BE5-49D6-B4F8-E95031411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22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C32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322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ListParagraph">
    <w:name w:val="List Paragraph"/>
    <w:basedOn w:val="Normal"/>
    <w:uiPriority w:val="34"/>
    <w:qFormat/>
    <w:rsid w:val="00CC5711"/>
    <w:pPr>
      <w:ind w:left="720"/>
      <w:contextualSpacing/>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51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8F0BD-A606-4559-A612-BF8B01AFB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8C154E-16D5-4A29-8DA8-06ECEC13D3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1683D1-84C2-4CEE-A7FE-77461D31150E}">
  <ds:schemaRefs>
    <ds:schemaRef ds:uri="http://schemas.microsoft.com/sharepoint/v3/contenttype/forms"/>
  </ds:schemaRefs>
</ds:datastoreItem>
</file>

<file path=customXml/itemProps4.xml><?xml version="1.0" encoding="utf-8"?>
<ds:datastoreItem xmlns:ds="http://schemas.openxmlformats.org/officeDocument/2006/customXml" ds:itemID="{7C7F3783-3C04-4760-A75A-339D4281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1031</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16</cp:revision>
  <cp:lastPrinted>2008-01-31T07:09:00Z</cp:lastPrinted>
  <dcterms:created xsi:type="dcterms:W3CDTF">2020-08-05T16:27:00Z</dcterms:created>
  <dcterms:modified xsi:type="dcterms:W3CDTF">2020-08-07T12:14:00Z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